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433BA" w14:textId="77777777" w:rsidR="00C07323" w:rsidRPr="002B3120" w:rsidRDefault="00C07323" w:rsidP="00C07323">
      <w:pPr>
        <w:pStyle w:val="Heading2"/>
        <w:keepLines/>
        <w:spacing w:before="200" w:after="120"/>
        <w:ind w:right="335"/>
        <w:rPr>
          <w:rFonts w:asciiTheme="minorHAnsi" w:hAnsiTheme="minorHAnsi"/>
          <w:sz w:val="24"/>
          <w:szCs w:val="24"/>
          <w:lang w:val="en-US"/>
        </w:rPr>
      </w:pPr>
      <w:r w:rsidRPr="00C07323">
        <w:rPr>
          <w:rFonts w:asciiTheme="minorHAnsi" w:hAnsiTheme="minorHAnsi"/>
          <w:iCs w:val="0"/>
          <w:sz w:val="24"/>
          <w:szCs w:val="24"/>
          <w:highlight w:val="yellow"/>
          <w:lang w:val="en-US"/>
        </w:rPr>
        <w:t>FORMAT OF THE EXAMINATION</w:t>
      </w:r>
    </w:p>
    <w:p w14:paraId="5BE15636" w14:textId="77777777" w:rsidR="00C07323" w:rsidRPr="002B3120" w:rsidRDefault="00C07323" w:rsidP="00C07323">
      <w:pPr>
        <w:autoSpaceDE w:val="0"/>
        <w:autoSpaceDN w:val="0"/>
        <w:adjustRightInd w:val="0"/>
        <w:spacing w:after="240"/>
        <w:ind w:right="333"/>
        <w:jc w:val="both"/>
        <w:rPr>
          <w:iCs/>
          <w:lang w:val="en-US"/>
        </w:rPr>
      </w:pPr>
      <w:r w:rsidRPr="002B3120">
        <w:rPr>
          <w:iCs/>
          <w:lang w:val="en-US"/>
        </w:rPr>
        <w:t xml:space="preserve">The format of the examinations shall include the following two parts: </w:t>
      </w:r>
    </w:p>
    <w:p w14:paraId="6EB5482E" w14:textId="77777777" w:rsidR="00C07323" w:rsidRPr="002B3120" w:rsidRDefault="00C07323" w:rsidP="00C07323">
      <w:pPr>
        <w:autoSpaceDE w:val="0"/>
        <w:autoSpaceDN w:val="0"/>
        <w:adjustRightInd w:val="0"/>
        <w:ind w:right="333"/>
        <w:contextualSpacing/>
        <w:jc w:val="both"/>
        <w:rPr>
          <w:b/>
          <w:i/>
          <w:iCs/>
          <w:lang w:val="en-US"/>
        </w:rPr>
      </w:pPr>
      <w:r w:rsidRPr="002B3120">
        <w:rPr>
          <w:b/>
          <w:i/>
          <w:iCs/>
          <w:lang w:val="en-US"/>
        </w:rPr>
        <w:t>I. General Microbiology</w:t>
      </w:r>
    </w:p>
    <w:p w14:paraId="3B9F0280" w14:textId="77777777" w:rsidR="00C07323" w:rsidRPr="002B3120" w:rsidRDefault="00C07323" w:rsidP="00C07323">
      <w:pPr>
        <w:autoSpaceDE w:val="0"/>
        <w:autoSpaceDN w:val="0"/>
        <w:adjustRightInd w:val="0"/>
        <w:ind w:right="333"/>
        <w:jc w:val="both"/>
        <w:rPr>
          <w:iCs/>
          <w:lang w:val="en-US"/>
        </w:rPr>
      </w:pPr>
      <w:r w:rsidRPr="002B3120">
        <w:rPr>
          <w:iCs/>
          <w:lang w:val="en-US"/>
        </w:rPr>
        <w:t>This part of the Examination shall deal with (</w:t>
      </w:r>
      <w:proofErr w:type="spellStart"/>
      <w:r w:rsidRPr="002B3120">
        <w:rPr>
          <w:iCs/>
          <w:lang w:val="en-US"/>
        </w:rPr>
        <w:t>i</w:t>
      </w:r>
      <w:proofErr w:type="spellEnd"/>
      <w:r w:rsidRPr="002B3120">
        <w:rPr>
          <w:iCs/>
          <w:lang w:val="en-US"/>
        </w:rPr>
        <w:t>) nomenclature, classification, morphology, geographical distribution, biological characteristics (including cell and molecular biology), detection and identification of bacteria, fungi and viruses of animals and animal products, and (ii) pathogenesis, immunology, pathology, epizootiology, clinical presentation, diagnosis and control of bacterial, fungal and viral diseases of animals.</w:t>
      </w:r>
    </w:p>
    <w:p w14:paraId="5E2FB0A8" w14:textId="77777777" w:rsidR="00C07323" w:rsidRDefault="00C07323" w:rsidP="00C07323">
      <w:pPr>
        <w:autoSpaceDE w:val="0"/>
        <w:autoSpaceDN w:val="0"/>
        <w:adjustRightInd w:val="0"/>
        <w:ind w:left="1276" w:right="333" w:hanging="992"/>
        <w:jc w:val="both"/>
        <w:rPr>
          <w:iCs/>
          <w:lang w:val="en-US"/>
        </w:rPr>
      </w:pPr>
      <w:r w:rsidRPr="002B3120">
        <w:rPr>
          <w:iCs/>
          <w:u w:val="single"/>
          <w:lang w:val="en-US"/>
        </w:rPr>
        <w:t>Format:</w:t>
      </w:r>
      <w:r>
        <w:rPr>
          <w:iCs/>
          <w:lang w:val="en-US"/>
        </w:rPr>
        <w:tab/>
      </w:r>
      <w:r w:rsidRPr="002B3120">
        <w:rPr>
          <w:iCs/>
          <w:lang w:val="en-US"/>
        </w:rPr>
        <w:t xml:space="preserve">Forty multiple choice questions (MCQ) + 2 essay questions (to be chosen by the candidate from a list of 4) + </w:t>
      </w:r>
      <w:r>
        <w:rPr>
          <w:iCs/>
          <w:lang w:val="en-US"/>
        </w:rPr>
        <w:t>4</w:t>
      </w:r>
      <w:r w:rsidRPr="002B3120">
        <w:rPr>
          <w:iCs/>
          <w:lang w:val="en-US"/>
        </w:rPr>
        <w:t xml:space="preserve"> short answer questions (to be selected by the candidate from a list of </w:t>
      </w:r>
      <w:r>
        <w:rPr>
          <w:iCs/>
          <w:lang w:val="en-US"/>
        </w:rPr>
        <w:t>6</w:t>
      </w:r>
      <w:r w:rsidRPr="002B3120">
        <w:rPr>
          <w:iCs/>
          <w:lang w:val="en-US"/>
        </w:rPr>
        <w:t xml:space="preserve">). </w:t>
      </w:r>
    </w:p>
    <w:p w14:paraId="6698F3CC" w14:textId="77777777" w:rsidR="00C07323" w:rsidRPr="002B3120" w:rsidRDefault="00C07323" w:rsidP="00C07323">
      <w:pPr>
        <w:autoSpaceDE w:val="0"/>
        <w:autoSpaceDN w:val="0"/>
        <w:adjustRightInd w:val="0"/>
        <w:ind w:left="1276" w:right="333" w:hanging="992"/>
        <w:jc w:val="both"/>
        <w:rPr>
          <w:iCs/>
          <w:lang w:val="en-US"/>
        </w:rPr>
      </w:pPr>
      <w:r w:rsidRPr="002B3120">
        <w:rPr>
          <w:iCs/>
          <w:u w:val="single"/>
          <w:lang w:val="en-US"/>
        </w:rPr>
        <w:t>Duration:</w:t>
      </w:r>
      <w:r w:rsidRPr="002B3120">
        <w:rPr>
          <w:iCs/>
          <w:lang w:val="en-US"/>
        </w:rPr>
        <w:t xml:space="preserve"> 3 hours</w:t>
      </w:r>
    </w:p>
    <w:p w14:paraId="14CDBFFD" w14:textId="77777777" w:rsidR="00C07323" w:rsidRPr="0014623A" w:rsidRDefault="00C07323" w:rsidP="00C07323">
      <w:pPr>
        <w:autoSpaceDE w:val="0"/>
        <w:autoSpaceDN w:val="0"/>
        <w:adjustRightInd w:val="0"/>
        <w:spacing w:after="240"/>
        <w:ind w:left="721" w:right="335" w:hanging="437"/>
        <w:jc w:val="both"/>
        <w:rPr>
          <w:iCs/>
          <w:lang w:val="en-US"/>
        </w:rPr>
      </w:pPr>
      <w:r w:rsidRPr="002B3120">
        <w:rPr>
          <w:iCs/>
          <w:u w:val="single"/>
          <w:lang w:val="en-US"/>
        </w:rPr>
        <w:t>Proportion of the final mark</w:t>
      </w:r>
      <w:r w:rsidRPr="002B3120">
        <w:rPr>
          <w:iCs/>
          <w:lang w:val="en-US"/>
        </w:rPr>
        <w:t>: 40%.</w:t>
      </w:r>
    </w:p>
    <w:p w14:paraId="344B0F73" w14:textId="77777777" w:rsidR="00C07323" w:rsidRPr="002B3120" w:rsidRDefault="00C07323" w:rsidP="00C07323">
      <w:pPr>
        <w:autoSpaceDE w:val="0"/>
        <w:autoSpaceDN w:val="0"/>
        <w:adjustRightInd w:val="0"/>
        <w:ind w:right="333"/>
        <w:contextualSpacing/>
        <w:jc w:val="both"/>
        <w:rPr>
          <w:b/>
          <w:i/>
          <w:iCs/>
          <w:lang w:val="en-US"/>
        </w:rPr>
      </w:pPr>
      <w:r w:rsidRPr="002B3120">
        <w:rPr>
          <w:b/>
          <w:i/>
          <w:iCs/>
          <w:lang w:val="en-US"/>
        </w:rPr>
        <w:t>II. Applied Microbiology</w:t>
      </w:r>
    </w:p>
    <w:p w14:paraId="3E9C6DA5" w14:textId="77777777" w:rsidR="00C07323" w:rsidRPr="002B3120" w:rsidRDefault="00C07323" w:rsidP="00C07323">
      <w:pPr>
        <w:autoSpaceDE w:val="0"/>
        <w:autoSpaceDN w:val="0"/>
        <w:adjustRightInd w:val="0"/>
        <w:ind w:right="333"/>
        <w:jc w:val="both"/>
        <w:rPr>
          <w:iCs/>
          <w:lang w:val="en-US"/>
        </w:rPr>
      </w:pPr>
      <w:r w:rsidRPr="002B3120">
        <w:rPr>
          <w:iCs/>
          <w:lang w:val="en-US"/>
        </w:rPr>
        <w:t xml:space="preserve">This part of the Examination consists of two sections, Sections A&amp; B. </w:t>
      </w:r>
    </w:p>
    <w:p w14:paraId="122715A1" w14:textId="3448FC16" w:rsidR="00C07323" w:rsidRPr="002B3120" w:rsidRDefault="00C07323" w:rsidP="00C07323">
      <w:pPr>
        <w:tabs>
          <w:tab w:val="left" w:pos="284"/>
        </w:tabs>
        <w:autoSpaceDE w:val="0"/>
        <w:autoSpaceDN w:val="0"/>
        <w:adjustRightInd w:val="0"/>
        <w:ind w:right="333"/>
        <w:jc w:val="both"/>
        <w:rPr>
          <w:iCs/>
          <w:lang w:val="en-US"/>
        </w:rPr>
      </w:pPr>
      <w:r w:rsidRPr="002B3120">
        <w:rPr>
          <w:b/>
          <w:iCs/>
          <w:lang w:val="en-US"/>
        </w:rPr>
        <w:t>Section A:</w:t>
      </w:r>
      <w:r w:rsidRPr="002B3120">
        <w:rPr>
          <w:iCs/>
          <w:lang w:val="en-US"/>
        </w:rPr>
        <w:t xml:space="preserve"> shall be used to evaluate the candidate’s clinical expertise in veterinary microbiology, and their communication skills. It shall be based on the preparation of </w:t>
      </w:r>
      <w:r>
        <w:rPr>
          <w:iCs/>
          <w:lang w:val="en-US"/>
        </w:rPr>
        <w:t>four</w:t>
      </w:r>
      <w:r w:rsidR="00D9172B">
        <w:rPr>
          <w:iCs/>
          <w:lang w:val="en-US"/>
        </w:rPr>
        <w:t xml:space="preserve"> </w:t>
      </w:r>
      <w:r w:rsidRPr="003119D2">
        <w:rPr>
          <w:iCs/>
          <w:lang w:val="en-US"/>
        </w:rPr>
        <w:t>case reports</w:t>
      </w:r>
      <w:r w:rsidRPr="002B3120">
        <w:rPr>
          <w:iCs/>
          <w:lang w:val="en-US"/>
        </w:rPr>
        <w:t xml:space="preserve"> dealing with different species of domesticated animals. The case reports must be </w:t>
      </w:r>
      <w:proofErr w:type="spellStart"/>
      <w:r w:rsidRPr="002B3120">
        <w:rPr>
          <w:iCs/>
          <w:lang w:val="en-US"/>
        </w:rPr>
        <w:t>organised</w:t>
      </w:r>
      <w:proofErr w:type="spellEnd"/>
      <w:r w:rsidRPr="002B3120">
        <w:rPr>
          <w:iCs/>
          <w:lang w:val="en-US"/>
        </w:rPr>
        <w:t xml:space="preserve"> as follows: clinical history, clinical presentation, differential diagnosis, diagnosis, control and outcome. Preparation of this material will rely on instructions available in this document and on the ECVM website. Other contributions such as a research project report, field trials (drugs/vaccines), evaluation of an infection control scheme, etc., may be acceptable in </w:t>
      </w:r>
      <w:r w:rsidRPr="002B3120">
        <w:rPr>
          <w:iCs/>
          <w:u w:val="single"/>
          <w:lang w:val="en-US"/>
        </w:rPr>
        <w:t>exceptional</w:t>
      </w:r>
      <w:r w:rsidRPr="002B3120">
        <w:rPr>
          <w:iCs/>
          <w:lang w:val="en-US"/>
        </w:rPr>
        <w:t xml:space="preserve"> cases but prior agreement must be obtained from the Examination Committee.</w:t>
      </w:r>
    </w:p>
    <w:p w14:paraId="00758E4B" w14:textId="77777777" w:rsidR="00C07323" w:rsidRPr="002B3120" w:rsidRDefault="00C07323" w:rsidP="00C07323">
      <w:pPr>
        <w:tabs>
          <w:tab w:val="left" w:pos="1276"/>
          <w:tab w:val="left" w:pos="4111"/>
        </w:tabs>
        <w:autoSpaceDE w:val="0"/>
        <w:autoSpaceDN w:val="0"/>
        <w:adjustRightInd w:val="0"/>
        <w:spacing w:after="60"/>
        <w:ind w:left="1276" w:right="333" w:hanging="992"/>
        <w:jc w:val="both"/>
        <w:rPr>
          <w:iCs/>
          <w:lang w:val="en-US"/>
        </w:rPr>
      </w:pPr>
      <w:r w:rsidRPr="002B3120">
        <w:rPr>
          <w:iCs/>
          <w:u w:val="single"/>
          <w:lang w:val="en-US"/>
        </w:rPr>
        <w:t>Format:</w:t>
      </w:r>
      <w:r>
        <w:rPr>
          <w:iCs/>
          <w:lang w:val="en-US"/>
        </w:rPr>
        <w:tab/>
      </w:r>
      <w:r w:rsidRPr="002B3120">
        <w:rPr>
          <w:iCs/>
          <w:lang w:val="en-US"/>
        </w:rPr>
        <w:t xml:space="preserve">The full </w:t>
      </w:r>
      <w:r w:rsidRPr="0007075D">
        <w:rPr>
          <w:iCs/>
          <w:lang w:val="en-US"/>
        </w:rPr>
        <w:t>dossier (</w:t>
      </w:r>
      <w:r>
        <w:rPr>
          <w:iCs/>
          <w:lang w:val="en-US"/>
        </w:rPr>
        <w:t>4</w:t>
      </w:r>
      <w:r w:rsidRPr="0007075D">
        <w:rPr>
          <w:iCs/>
          <w:lang w:val="en-US"/>
        </w:rPr>
        <w:t xml:space="preserve"> case reports)</w:t>
      </w:r>
      <w:r w:rsidRPr="002B3120">
        <w:rPr>
          <w:iCs/>
          <w:lang w:val="en-US"/>
        </w:rPr>
        <w:t xml:space="preserve"> must be provided </w:t>
      </w:r>
      <w:r>
        <w:rPr>
          <w:iCs/>
          <w:lang w:val="en-US"/>
        </w:rPr>
        <w:t>at least 3 months before the next scheduled examination</w:t>
      </w:r>
      <w:r w:rsidRPr="002B3120">
        <w:rPr>
          <w:iCs/>
          <w:lang w:val="en-US"/>
        </w:rPr>
        <w:t xml:space="preserve">. Candidates must prepare a presentation of </w:t>
      </w:r>
      <w:r>
        <w:rPr>
          <w:iCs/>
          <w:lang w:val="en-US"/>
        </w:rPr>
        <w:t xml:space="preserve">all four </w:t>
      </w:r>
      <w:r w:rsidRPr="002B3120">
        <w:rPr>
          <w:iCs/>
          <w:lang w:val="en-US"/>
        </w:rPr>
        <w:t>case reports (using PowerPoint or similar software) before the examination. The</w:t>
      </w:r>
      <w:r>
        <w:rPr>
          <w:iCs/>
          <w:lang w:val="en-US"/>
        </w:rPr>
        <w:t xml:space="preserve"> particular</w:t>
      </w:r>
      <w:r w:rsidRPr="002B3120">
        <w:rPr>
          <w:iCs/>
          <w:lang w:val="en-US"/>
        </w:rPr>
        <w:t xml:space="preserve"> case-report selected by the Examination Committee for oral presentation will be announced to the candidate during the examination.  </w:t>
      </w:r>
    </w:p>
    <w:p w14:paraId="38E08DB1" w14:textId="77777777" w:rsidR="00C07323" w:rsidRPr="002B3120" w:rsidRDefault="00C07323" w:rsidP="00C07323">
      <w:pPr>
        <w:tabs>
          <w:tab w:val="left" w:pos="284"/>
        </w:tabs>
        <w:autoSpaceDE w:val="0"/>
        <w:autoSpaceDN w:val="0"/>
        <w:adjustRightInd w:val="0"/>
        <w:spacing w:after="60"/>
        <w:ind w:left="284" w:right="333"/>
        <w:jc w:val="both"/>
        <w:rPr>
          <w:iCs/>
          <w:lang w:val="en-US"/>
        </w:rPr>
      </w:pPr>
      <w:r w:rsidRPr="002B3120">
        <w:rPr>
          <w:iCs/>
          <w:u w:val="single"/>
          <w:lang w:val="en-US"/>
        </w:rPr>
        <w:t>Duration:</w:t>
      </w:r>
      <w:r w:rsidRPr="002B3120">
        <w:rPr>
          <w:iCs/>
          <w:lang w:val="en-US"/>
        </w:rPr>
        <w:t xml:space="preserve"> approx. 30 minutes (15 minutes for the presentation and 15 minutes for questions). </w:t>
      </w:r>
    </w:p>
    <w:p w14:paraId="19A88CDB" w14:textId="77777777" w:rsidR="00C07323" w:rsidRPr="002B3120" w:rsidRDefault="00C07323" w:rsidP="00C07323">
      <w:pPr>
        <w:tabs>
          <w:tab w:val="left" w:pos="709"/>
        </w:tabs>
        <w:autoSpaceDE w:val="0"/>
        <w:autoSpaceDN w:val="0"/>
        <w:adjustRightInd w:val="0"/>
        <w:ind w:left="3119" w:right="333" w:hanging="2835"/>
        <w:jc w:val="both"/>
        <w:rPr>
          <w:iCs/>
          <w:lang w:val="en-US"/>
        </w:rPr>
      </w:pPr>
      <w:r w:rsidRPr="002B3120">
        <w:rPr>
          <w:iCs/>
          <w:u w:val="single"/>
          <w:lang w:val="en-US"/>
        </w:rPr>
        <w:t>Proportion of the final mark</w:t>
      </w:r>
      <w:r w:rsidRPr="002B3120">
        <w:rPr>
          <w:iCs/>
          <w:lang w:val="en-US"/>
        </w:rPr>
        <w:t>: 40% (of which 20% is for the orally presented report</w:t>
      </w:r>
      <w:r>
        <w:rPr>
          <w:iCs/>
          <w:lang w:val="en-US"/>
        </w:rPr>
        <w:t xml:space="preserve"> and discussion</w:t>
      </w:r>
      <w:r w:rsidRPr="002B3120">
        <w:rPr>
          <w:iCs/>
          <w:lang w:val="en-US"/>
        </w:rPr>
        <w:t xml:space="preserve">; and 20% for the </w:t>
      </w:r>
      <w:r>
        <w:rPr>
          <w:iCs/>
          <w:lang w:val="en-US"/>
        </w:rPr>
        <w:t>four</w:t>
      </w:r>
      <w:r w:rsidRPr="002B3120">
        <w:rPr>
          <w:iCs/>
          <w:lang w:val="en-US"/>
        </w:rPr>
        <w:t xml:space="preserve"> written </w:t>
      </w:r>
      <w:r>
        <w:rPr>
          <w:iCs/>
          <w:lang w:val="en-US"/>
        </w:rPr>
        <w:t xml:space="preserve">case </w:t>
      </w:r>
      <w:r w:rsidRPr="002B3120">
        <w:rPr>
          <w:iCs/>
          <w:lang w:val="en-US"/>
        </w:rPr>
        <w:t>reports).</w:t>
      </w:r>
    </w:p>
    <w:p w14:paraId="72306C6C" w14:textId="77777777" w:rsidR="00C07323" w:rsidRPr="002B3120" w:rsidRDefault="00C07323" w:rsidP="00C07323">
      <w:pPr>
        <w:autoSpaceDE w:val="0"/>
        <w:autoSpaceDN w:val="0"/>
        <w:adjustRightInd w:val="0"/>
        <w:ind w:right="333"/>
        <w:jc w:val="both"/>
        <w:rPr>
          <w:iCs/>
          <w:lang w:val="en-US"/>
        </w:rPr>
      </w:pPr>
      <w:r w:rsidRPr="002B3120">
        <w:rPr>
          <w:b/>
          <w:iCs/>
          <w:lang w:val="en-US"/>
        </w:rPr>
        <w:t>Section B</w:t>
      </w:r>
      <w:r w:rsidRPr="002B3120">
        <w:rPr>
          <w:iCs/>
          <w:lang w:val="en-US"/>
        </w:rPr>
        <w:t xml:space="preserve">: </w:t>
      </w:r>
      <w:proofErr w:type="gramStart"/>
      <w:r w:rsidRPr="002B3120">
        <w:rPr>
          <w:iCs/>
          <w:lang w:val="en-US"/>
        </w:rPr>
        <w:t>the</w:t>
      </w:r>
      <w:proofErr w:type="gramEnd"/>
      <w:r w:rsidRPr="002B3120">
        <w:rPr>
          <w:iCs/>
          <w:lang w:val="en-US"/>
        </w:rPr>
        <w:t xml:space="preserve"> Examination shall be used to evaluate the candidate’s ability to understand and use in an appropriate way different diagnostic techniques. Section B will consist of the following:</w:t>
      </w:r>
    </w:p>
    <w:p w14:paraId="46BC5449" w14:textId="77777777" w:rsidR="00C07323" w:rsidRPr="002B3120" w:rsidRDefault="00C07323" w:rsidP="00C07323">
      <w:pPr>
        <w:pStyle w:val="ListParagraph"/>
        <w:numPr>
          <w:ilvl w:val="1"/>
          <w:numId w:val="2"/>
        </w:numPr>
        <w:tabs>
          <w:tab w:val="left" w:pos="851"/>
        </w:tabs>
        <w:autoSpaceDE w:val="0"/>
        <w:autoSpaceDN w:val="0"/>
        <w:adjustRightInd w:val="0"/>
        <w:spacing w:after="0" w:line="240" w:lineRule="auto"/>
        <w:ind w:left="851" w:right="333" w:hanging="425"/>
        <w:contextualSpacing/>
        <w:jc w:val="both"/>
        <w:rPr>
          <w:rFonts w:asciiTheme="minorHAnsi" w:hAnsiTheme="minorHAnsi"/>
          <w:iCs/>
          <w:sz w:val="24"/>
          <w:szCs w:val="24"/>
          <w:lang w:val="en-US"/>
        </w:rPr>
      </w:pPr>
      <w:r w:rsidRPr="002B3120">
        <w:rPr>
          <w:rFonts w:asciiTheme="minorHAnsi" w:hAnsiTheme="minorHAnsi"/>
          <w:iCs/>
          <w:sz w:val="24"/>
          <w:szCs w:val="24"/>
          <w:lang w:val="en-US"/>
        </w:rPr>
        <w:t>Diagnostic scenarios: Ten diagnostic scenarios (consisting of up to 200 words of text plus appropriate laboratory data) each with four associated MCQs based on the critical analysis of clinical, serological, isolation, molecular or biochemical data (a total of forty MCQs).</w:t>
      </w:r>
    </w:p>
    <w:p w14:paraId="41FA4179" w14:textId="77777777" w:rsidR="00C07323" w:rsidRPr="002B3120" w:rsidRDefault="00C07323" w:rsidP="00C07323">
      <w:pPr>
        <w:pStyle w:val="ListParagraph"/>
        <w:numPr>
          <w:ilvl w:val="0"/>
          <w:numId w:val="1"/>
        </w:numPr>
        <w:tabs>
          <w:tab w:val="left" w:pos="851"/>
        </w:tabs>
        <w:autoSpaceDE w:val="0"/>
        <w:autoSpaceDN w:val="0"/>
        <w:adjustRightInd w:val="0"/>
        <w:spacing w:after="60" w:line="240" w:lineRule="auto"/>
        <w:ind w:left="851" w:right="333" w:hanging="425"/>
        <w:contextualSpacing/>
        <w:jc w:val="both"/>
        <w:rPr>
          <w:rFonts w:asciiTheme="minorHAnsi" w:hAnsiTheme="minorHAnsi"/>
          <w:iCs/>
          <w:sz w:val="24"/>
          <w:szCs w:val="24"/>
          <w:lang w:val="en-US"/>
        </w:rPr>
      </w:pPr>
      <w:r w:rsidRPr="002B3120">
        <w:rPr>
          <w:rFonts w:asciiTheme="minorHAnsi" w:hAnsiTheme="minorHAnsi"/>
          <w:iCs/>
          <w:sz w:val="24"/>
          <w:szCs w:val="24"/>
          <w:lang w:val="en-US"/>
        </w:rPr>
        <w:lastRenderedPageBreak/>
        <w:t xml:space="preserve">Microbial identification: Fifteen cultures, microscopic preparations or pictures to be examined. Specimens to be identified will be accompanied by a brief history and relevant background details. </w:t>
      </w:r>
    </w:p>
    <w:p w14:paraId="38AE8757" w14:textId="77777777" w:rsidR="00C07323" w:rsidRPr="002B3120" w:rsidRDefault="00C07323" w:rsidP="00C07323">
      <w:pPr>
        <w:autoSpaceDE w:val="0"/>
        <w:autoSpaceDN w:val="0"/>
        <w:adjustRightInd w:val="0"/>
        <w:spacing w:after="60"/>
        <w:ind w:left="426" w:right="333"/>
        <w:jc w:val="both"/>
        <w:rPr>
          <w:iCs/>
          <w:lang w:val="en-US"/>
        </w:rPr>
      </w:pPr>
      <w:r w:rsidRPr="002B3120">
        <w:rPr>
          <w:iCs/>
          <w:u w:val="single"/>
          <w:lang w:val="en-US"/>
        </w:rPr>
        <w:t>Duration</w:t>
      </w:r>
      <w:r w:rsidRPr="002B3120">
        <w:rPr>
          <w:iCs/>
          <w:lang w:val="en-US"/>
        </w:rPr>
        <w:t>: 3 hours.</w:t>
      </w:r>
    </w:p>
    <w:p w14:paraId="1A8AD9EB" w14:textId="77777777" w:rsidR="00C07323" w:rsidRPr="002B3120" w:rsidRDefault="00C07323" w:rsidP="00C07323">
      <w:pPr>
        <w:autoSpaceDE w:val="0"/>
        <w:autoSpaceDN w:val="0"/>
        <w:adjustRightInd w:val="0"/>
        <w:ind w:left="426" w:right="333"/>
        <w:jc w:val="both"/>
        <w:rPr>
          <w:iCs/>
          <w:lang w:val="en-US"/>
        </w:rPr>
      </w:pPr>
      <w:r w:rsidRPr="002B3120">
        <w:rPr>
          <w:iCs/>
          <w:u w:val="single"/>
          <w:lang w:val="en-US"/>
        </w:rPr>
        <w:t>Proportion of the final mark</w:t>
      </w:r>
      <w:r w:rsidRPr="002B3120">
        <w:rPr>
          <w:iCs/>
          <w:lang w:val="en-US"/>
        </w:rPr>
        <w:t xml:space="preserve">: 20%. </w:t>
      </w:r>
    </w:p>
    <w:p w14:paraId="3ADCBE05" w14:textId="2B8325D5" w:rsidR="00C07323" w:rsidRDefault="00C07323">
      <w:pPr>
        <w:rPr>
          <w:lang w:val="en-US"/>
        </w:rPr>
      </w:pPr>
    </w:p>
    <w:p w14:paraId="614F32B2" w14:textId="3658BA18" w:rsidR="00C07323" w:rsidRDefault="00C07323">
      <w:pPr>
        <w:spacing w:after="160" w:line="259" w:lineRule="auto"/>
        <w:rPr>
          <w:lang w:val="en-US"/>
        </w:rPr>
      </w:pPr>
      <w:r>
        <w:rPr>
          <w:lang w:val="en-US"/>
        </w:rPr>
        <w:br w:type="page"/>
      </w:r>
    </w:p>
    <w:p w14:paraId="543A512A" w14:textId="77777777" w:rsidR="00C07323" w:rsidRPr="00353E75" w:rsidRDefault="00C07323" w:rsidP="00C07323"/>
    <w:p w14:paraId="5C489013" w14:textId="306E2A43" w:rsidR="00C07323" w:rsidRPr="00C07323" w:rsidRDefault="00C07323" w:rsidP="00C07323">
      <w:pPr>
        <w:rPr>
          <w:b/>
          <w:bCs/>
        </w:rPr>
      </w:pPr>
      <w:r w:rsidRPr="00C07323">
        <w:rPr>
          <w:b/>
          <w:bCs/>
          <w:highlight w:val="yellow"/>
        </w:rPr>
        <w:t>Reading List</w:t>
      </w:r>
      <w:r w:rsidRPr="00C07323">
        <w:rPr>
          <w:b/>
          <w:bCs/>
        </w:rPr>
        <w:t xml:space="preserve"> </w:t>
      </w:r>
    </w:p>
    <w:p w14:paraId="66CBFE3E" w14:textId="77777777" w:rsidR="00C07323" w:rsidRPr="00353E75" w:rsidRDefault="00C07323" w:rsidP="00C07323"/>
    <w:p w14:paraId="3AE58C75" w14:textId="77777777" w:rsidR="00C07323" w:rsidRPr="00353E75" w:rsidRDefault="00C07323" w:rsidP="00C07323"/>
    <w:p w14:paraId="134A289E" w14:textId="77777777" w:rsidR="00C07323" w:rsidRPr="00353E75" w:rsidRDefault="00C07323" w:rsidP="00C07323"/>
    <w:p w14:paraId="1F04ED26" w14:textId="77777777" w:rsidR="00C07323" w:rsidRPr="00353E75" w:rsidRDefault="00C07323" w:rsidP="00C07323">
      <w:pPr>
        <w:jc w:val="center"/>
        <w:rPr>
          <w:b/>
          <w:bCs/>
        </w:rPr>
      </w:pPr>
      <w:r w:rsidRPr="00353E75">
        <w:rPr>
          <w:b/>
          <w:bCs/>
        </w:rPr>
        <w:t>Certifying Examination Recommended Reading List</w:t>
      </w:r>
    </w:p>
    <w:p w14:paraId="1B0A83AE" w14:textId="77777777" w:rsidR="00C07323" w:rsidRPr="00353E75" w:rsidRDefault="00C07323" w:rsidP="00C07323"/>
    <w:p w14:paraId="7D6A5883" w14:textId="77777777" w:rsidR="00C07323" w:rsidRPr="00F410D5" w:rsidRDefault="00C07323" w:rsidP="00C07323">
      <w:pPr>
        <w:rPr>
          <w:b/>
          <w:bCs/>
        </w:rPr>
      </w:pPr>
      <w:r w:rsidRPr="00F410D5">
        <w:rPr>
          <w:b/>
          <w:bCs/>
        </w:rPr>
        <w:t>Main Study Textbooks (in alphabetical order)</w:t>
      </w:r>
    </w:p>
    <w:p w14:paraId="73D2A388" w14:textId="77777777" w:rsidR="00C07323" w:rsidRPr="00353E75" w:rsidRDefault="00C07323" w:rsidP="00C07323"/>
    <w:p w14:paraId="72D881AD" w14:textId="77777777" w:rsidR="00C07323" w:rsidRPr="00876E2A" w:rsidRDefault="00C07323" w:rsidP="00C07323">
      <w:r w:rsidRPr="00876E2A">
        <w:t>Clinical Veterinary Microbiology 2nd Edition (2013)</w:t>
      </w:r>
    </w:p>
    <w:p w14:paraId="76F3D1FD" w14:textId="77777777" w:rsidR="00C07323" w:rsidRPr="00876E2A" w:rsidRDefault="00C07323" w:rsidP="00C07323">
      <w:r w:rsidRPr="00876E2A">
        <w:t>by Bryan Markey (Author), Finola Leonard (Author), Marie Archambault (Author), Ann Cullinane (Author), </w:t>
      </w:r>
      <w:proofErr w:type="spellStart"/>
      <w:r w:rsidRPr="00876E2A">
        <w:t>Dores</w:t>
      </w:r>
      <w:proofErr w:type="spellEnd"/>
      <w:r w:rsidRPr="00876E2A">
        <w:t xml:space="preserve"> Maguire (Author)</w:t>
      </w:r>
    </w:p>
    <w:p w14:paraId="02CBD8C4" w14:textId="77777777" w:rsidR="00C07323" w:rsidRPr="00876E2A" w:rsidRDefault="00C07323" w:rsidP="00C07323">
      <w:r w:rsidRPr="00876E2A">
        <w:t>Mosby</w:t>
      </w:r>
    </w:p>
    <w:p w14:paraId="6147826F" w14:textId="77777777" w:rsidR="00C07323" w:rsidRPr="00876E2A" w:rsidRDefault="00C07323" w:rsidP="00C07323">
      <w:r w:rsidRPr="00876E2A">
        <w:t>ISBN-13: 978-0723432371</w:t>
      </w:r>
    </w:p>
    <w:p w14:paraId="0F63D51D" w14:textId="77777777" w:rsidR="00C07323" w:rsidRDefault="00C07323" w:rsidP="00C07323">
      <w:r w:rsidRPr="00876E2A">
        <w:t>ISBN-10: 9780723432371</w:t>
      </w:r>
    </w:p>
    <w:p w14:paraId="03F37C86" w14:textId="77777777" w:rsidR="00C07323" w:rsidRPr="00876E2A" w:rsidRDefault="00C07323" w:rsidP="00C07323"/>
    <w:p w14:paraId="2EFCE2FE" w14:textId="77777777" w:rsidR="00C07323" w:rsidRDefault="00C07323" w:rsidP="00C07323"/>
    <w:p w14:paraId="369CFA99" w14:textId="77777777" w:rsidR="00C07323" w:rsidRPr="00353E75" w:rsidRDefault="00C07323" w:rsidP="00C07323">
      <w:r w:rsidRPr="00353E75">
        <w:t>Veterinary Microbiology and Microbial Disease 2nd Edition (2011)</w:t>
      </w:r>
    </w:p>
    <w:p w14:paraId="3F468EA2" w14:textId="77777777" w:rsidR="00C07323" w:rsidRPr="00876E2A" w:rsidRDefault="00C07323" w:rsidP="00C07323">
      <w:r w:rsidRPr="00353E75">
        <w:t xml:space="preserve">By </w:t>
      </w:r>
      <w:r w:rsidRPr="00353E75">
        <w:softHyphen/>
      </w:r>
      <w:r w:rsidRPr="00876E2A">
        <w:t>P. J. Quinn (Author), B. K. Markey (Author), F. C. Leonard (Author), E. S. Fitzpatrick (Author), S. Fanning (Author)</w:t>
      </w:r>
    </w:p>
    <w:p w14:paraId="10DAA888" w14:textId="77777777" w:rsidR="00C07323" w:rsidRPr="00876E2A" w:rsidRDefault="00C07323" w:rsidP="00C07323">
      <w:r w:rsidRPr="00876E2A">
        <w:t>Wiley</w:t>
      </w:r>
      <w:r w:rsidRPr="00353E75">
        <w:t>-Blackwell</w:t>
      </w:r>
    </w:p>
    <w:p w14:paraId="2F802E6B" w14:textId="77777777" w:rsidR="00C07323" w:rsidRPr="00876E2A" w:rsidRDefault="00C07323" w:rsidP="00C07323">
      <w:r w:rsidRPr="00876E2A">
        <w:t>ISBN-13: 978-</w:t>
      </w:r>
      <w:r>
        <w:t>1405158237</w:t>
      </w:r>
    </w:p>
    <w:p w14:paraId="63817D82" w14:textId="77777777" w:rsidR="00C07323" w:rsidRPr="00876E2A" w:rsidRDefault="00C07323" w:rsidP="00C07323">
      <w:r w:rsidRPr="00876E2A">
        <w:t>ISBN-10: </w:t>
      </w:r>
      <w:r>
        <w:t>1405158239</w:t>
      </w:r>
    </w:p>
    <w:p w14:paraId="79B8DEBB" w14:textId="77777777" w:rsidR="00C07323" w:rsidRDefault="00C07323" w:rsidP="00C07323"/>
    <w:p w14:paraId="4445AB76" w14:textId="77777777" w:rsidR="00C07323" w:rsidRDefault="00C07323" w:rsidP="00C07323"/>
    <w:p w14:paraId="3FCFADB3" w14:textId="77777777" w:rsidR="00C07323" w:rsidRPr="00767C2A" w:rsidRDefault="00C07323" w:rsidP="00C07323">
      <w:pPr>
        <w:rPr>
          <w:i/>
          <w:iCs/>
        </w:rPr>
      </w:pPr>
      <w:r w:rsidRPr="00024E20">
        <w:rPr>
          <w:i/>
          <w:iCs/>
        </w:rPr>
        <w:t xml:space="preserve">Knowledge of basic and applied </w:t>
      </w:r>
      <w:r w:rsidRPr="00767C2A">
        <w:rPr>
          <w:i/>
          <w:iCs/>
        </w:rPr>
        <w:t>immunology, epidemiology</w:t>
      </w:r>
      <w:r>
        <w:rPr>
          <w:i/>
          <w:iCs/>
        </w:rPr>
        <w:t>, virology</w:t>
      </w:r>
      <w:r w:rsidRPr="00024E20">
        <w:rPr>
          <w:i/>
          <w:iCs/>
        </w:rPr>
        <w:t xml:space="preserve"> and p</w:t>
      </w:r>
      <w:r w:rsidRPr="00767C2A">
        <w:rPr>
          <w:i/>
          <w:iCs/>
        </w:rPr>
        <w:t>athology</w:t>
      </w:r>
      <w:r w:rsidRPr="00024E20">
        <w:rPr>
          <w:i/>
          <w:iCs/>
        </w:rPr>
        <w:t xml:space="preserve"> is assumed. Guidance for revision on these topics include the following textbooks: </w:t>
      </w:r>
    </w:p>
    <w:p w14:paraId="1D479215" w14:textId="77777777" w:rsidR="00C07323" w:rsidRDefault="00C07323" w:rsidP="00C07323"/>
    <w:p w14:paraId="5DBBF23D" w14:textId="77777777" w:rsidR="00C07323" w:rsidRDefault="00C07323" w:rsidP="00C07323">
      <w:r>
        <w:t>Veterinary Immunology 10</w:t>
      </w:r>
      <w:r w:rsidRPr="001840BF">
        <w:rPr>
          <w:vertAlign w:val="superscript"/>
        </w:rPr>
        <w:t>th</w:t>
      </w:r>
      <w:r>
        <w:t xml:space="preserve"> edition (2017)</w:t>
      </w:r>
    </w:p>
    <w:p w14:paraId="0E48FA5C" w14:textId="77777777" w:rsidR="00C07323" w:rsidRDefault="00C07323" w:rsidP="00C07323">
      <w:r>
        <w:t>By Ian Tizard.</w:t>
      </w:r>
    </w:p>
    <w:p w14:paraId="20B959FD" w14:textId="77777777" w:rsidR="00C07323" w:rsidRDefault="00C07323" w:rsidP="00C07323">
      <w:r>
        <w:t>Saunders</w:t>
      </w:r>
    </w:p>
    <w:p w14:paraId="01BE0C17" w14:textId="77777777" w:rsidR="00C07323" w:rsidRPr="00876E2A" w:rsidRDefault="00C07323" w:rsidP="00C07323">
      <w:r w:rsidRPr="00876E2A">
        <w:t>ISBN-13: </w:t>
      </w:r>
      <w:r>
        <w:t>978-0323523493</w:t>
      </w:r>
    </w:p>
    <w:p w14:paraId="72E28546" w14:textId="77777777" w:rsidR="00C07323" w:rsidRDefault="00C07323" w:rsidP="00C07323"/>
    <w:p w14:paraId="771FD41A" w14:textId="77777777" w:rsidR="00C07323" w:rsidRPr="00876E2A" w:rsidRDefault="00C07323" w:rsidP="00C07323">
      <w:proofErr w:type="spellStart"/>
      <w:r w:rsidRPr="00876E2A">
        <w:t>Fenner's</w:t>
      </w:r>
      <w:proofErr w:type="spellEnd"/>
      <w:r w:rsidRPr="00876E2A">
        <w:t xml:space="preserve"> Veterinary Virology 5th Edition (2016)</w:t>
      </w:r>
    </w:p>
    <w:p w14:paraId="1B18DC2A" w14:textId="77777777" w:rsidR="00C07323" w:rsidRPr="00876E2A" w:rsidRDefault="00C07323" w:rsidP="00C07323">
      <w:r w:rsidRPr="00876E2A">
        <w:t xml:space="preserve">by N. James </w:t>
      </w:r>
      <w:proofErr w:type="spellStart"/>
      <w:r w:rsidRPr="00876E2A">
        <w:t>Maclachlan</w:t>
      </w:r>
      <w:proofErr w:type="spellEnd"/>
      <w:r w:rsidRPr="00876E2A">
        <w:t xml:space="preserve"> BVSc MS PhD (Editor), Edward J </w:t>
      </w:r>
      <w:proofErr w:type="spellStart"/>
      <w:r w:rsidRPr="00876E2A">
        <w:t>Dubovi</w:t>
      </w:r>
      <w:proofErr w:type="spellEnd"/>
      <w:r w:rsidRPr="00876E2A">
        <w:t xml:space="preserve"> B.A. M.A. Ph.D. (Editor)</w:t>
      </w:r>
    </w:p>
    <w:p w14:paraId="23C2EE55" w14:textId="77777777" w:rsidR="00C07323" w:rsidRPr="00876E2A" w:rsidRDefault="00C07323" w:rsidP="00C07323">
      <w:r w:rsidRPr="00876E2A">
        <w:t>Academic Press</w:t>
      </w:r>
    </w:p>
    <w:p w14:paraId="083DF9C4" w14:textId="77777777" w:rsidR="00C07323" w:rsidRPr="00876E2A" w:rsidRDefault="00C07323" w:rsidP="00C07323">
      <w:r w:rsidRPr="00876E2A">
        <w:t>ISBN-13: 978-0128009468</w:t>
      </w:r>
    </w:p>
    <w:p w14:paraId="4CA3813C" w14:textId="77777777" w:rsidR="00C07323" w:rsidRPr="00876E2A" w:rsidRDefault="00C07323" w:rsidP="00C07323">
      <w:r w:rsidRPr="00876E2A">
        <w:t>ISBN-10: 0128009462</w:t>
      </w:r>
    </w:p>
    <w:p w14:paraId="37A1BB01" w14:textId="77777777" w:rsidR="00C07323" w:rsidRDefault="00C07323" w:rsidP="00C07323"/>
    <w:p w14:paraId="528FF7E5" w14:textId="77777777" w:rsidR="00C07323" w:rsidRDefault="00C07323" w:rsidP="00C07323">
      <w:r>
        <w:t>Veterinary Epidemiology, an Introduction. (2010).</w:t>
      </w:r>
    </w:p>
    <w:p w14:paraId="7825E08F" w14:textId="77777777" w:rsidR="00C07323" w:rsidRDefault="00C07323" w:rsidP="00C07323">
      <w:r>
        <w:t>By Dirk. U. Pfeiffer</w:t>
      </w:r>
    </w:p>
    <w:p w14:paraId="6024BC04" w14:textId="77777777" w:rsidR="00C07323" w:rsidRDefault="00C07323" w:rsidP="00C07323">
      <w:r>
        <w:t>Wiley-Blackwell.</w:t>
      </w:r>
    </w:p>
    <w:p w14:paraId="7C4DDF35" w14:textId="77777777" w:rsidR="00C07323" w:rsidRDefault="00C07323" w:rsidP="00C07323">
      <w:r>
        <w:t>ISBN-13: 978-1405176941</w:t>
      </w:r>
    </w:p>
    <w:p w14:paraId="5278FAD3" w14:textId="77777777" w:rsidR="00C07323" w:rsidRDefault="00C07323" w:rsidP="00C07323"/>
    <w:p w14:paraId="063B5330" w14:textId="77777777" w:rsidR="00C07323" w:rsidRDefault="00C07323" w:rsidP="00C07323">
      <w:r>
        <w:t>Pathologic Basis of Veterinary Disease Sixth edition (2016)</w:t>
      </w:r>
    </w:p>
    <w:p w14:paraId="2CF30672" w14:textId="77777777" w:rsidR="00C07323" w:rsidRDefault="00C07323" w:rsidP="00C07323">
      <w:r>
        <w:t>By James F. Zachary (Editor)</w:t>
      </w:r>
    </w:p>
    <w:p w14:paraId="024B0B20" w14:textId="77777777" w:rsidR="00C07323" w:rsidRDefault="00C07323" w:rsidP="00C07323">
      <w:r>
        <w:lastRenderedPageBreak/>
        <w:t>Mosby</w:t>
      </w:r>
    </w:p>
    <w:p w14:paraId="13F67796" w14:textId="77777777" w:rsidR="00C07323" w:rsidRDefault="00C07323" w:rsidP="00C07323">
      <w:r>
        <w:t>ISBN-13: 978-0323357753</w:t>
      </w:r>
    </w:p>
    <w:p w14:paraId="7156685E" w14:textId="77777777" w:rsidR="00C07323" w:rsidRDefault="00C07323" w:rsidP="00C07323"/>
    <w:p w14:paraId="1AEEDBCE" w14:textId="77777777" w:rsidR="00C07323" w:rsidRPr="00F410D5" w:rsidRDefault="00C07323" w:rsidP="00C07323">
      <w:pPr>
        <w:rPr>
          <w:i/>
          <w:iCs/>
        </w:rPr>
      </w:pPr>
      <w:r w:rsidRPr="00F410D5">
        <w:rPr>
          <w:i/>
          <w:iCs/>
        </w:rPr>
        <w:t xml:space="preserve">The following textbooks are a useful source of information to increase the understanding and depth of knowledge of the candidate but would not be considered essential reading. </w:t>
      </w:r>
    </w:p>
    <w:p w14:paraId="587338D7" w14:textId="77777777" w:rsidR="00C07323" w:rsidRDefault="00C07323" w:rsidP="00C07323"/>
    <w:p w14:paraId="57586320" w14:textId="77777777" w:rsidR="00C07323" w:rsidRDefault="00C07323" w:rsidP="00C07323"/>
    <w:p w14:paraId="74DFA65A" w14:textId="77777777" w:rsidR="00C07323" w:rsidRPr="00876E2A" w:rsidRDefault="00C07323" w:rsidP="00C07323">
      <w:r w:rsidRPr="00876E2A">
        <w:t>Veterinary Microbiology 3rd Edition (2013)</w:t>
      </w:r>
    </w:p>
    <w:p w14:paraId="42FDC1D5" w14:textId="77777777" w:rsidR="00C07323" w:rsidRPr="00876E2A" w:rsidRDefault="00C07323" w:rsidP="00C07323">
      <w:r w:rsidRPr="00876E2A">
        <w:t xml:space="preserve">by D. Scott McVey (Editor), Melissa Kennedy (Editor), M. M. </w:t>
      </w:r>
      <w:proofErr w:type="spellStart"/>
      <w:r w:rsidRPr="00876E2A">
        <w:t>Chengappa</w:t>
      </w:r>
      <w:proofErr w:type="spellEnd"/>
      <w:r w:rsidRPr="00876E2A">
        <w:t> (Editor)</w:t>
      </w:r>
    </w:p>
    <w:p w14:paraId="1C01DB07" w14:textId="77777777" w:rsidR="00C07323" w:rsidRPr="00876E2A" w:rsidRDefault="00C07323" w:rsidP="00C07323">
      <w:r w:rsidRPr="00876E2A">
        <w:t>Wiley</w:t>
      </w:r>
    </w:p>
    <w:p w14:paraId="0E3C5C6F" w14:textId="77777777" w:rsidR="00C07323" w:rsidRPr="00876E2A" w:rsidRDefault="00C07323" w:rsidP="00C07323">
      <w:r w:rsidRPr="00876E2A">
        <w:t>ISBN-13: 978-0470959497</w:t>
      </w:r>
    </w:p>
    <w:p w14:paraId="3CB2CD57" w14:textId="77777777" w:rsidR="00C07323" w:rsidRDefault="00C07323" w:rsidP="00C07323">
      <w:r w:rsidRPr="00876E2A">
        <w:t>ISBN-10: 0470959495</w:t>
      </w:r>
    </w:p>
    <w:p w14:paraId="327C533B" w14:textId="77777777" w:rsidR="00C07323" w:rsidRDefault="00C07323" w:rsidP="00C07323"/>
    <w:p w14:paraId="6691C2FE" w14:textId="77777777" w:rsidR="00C07323" w:rsidRPr="00876E2A" w:rsidRDefault="00C07323" w:rsidP="00C07323">
      <w:r w:rsidRPr="00876E2A">
        <w:t>Veterinary Microbiology: Bacterial and Fungal Agents of Animal Disease 1st Edition (2004)</w:t>
      </w:r>
    </w:p>
    <w:p w14:paraId="00F26BD6" w14:textId="77777777" w:rsidR="00C07323" w:rsidRPr="00876E2A" w:rsidRDefault="00C07323" w:rsidP="00C07323">
      <w:r w:rsidRPr="00876E2A">
        <w:t xml:space="preserve">by J. Glenn </w:t>
      </w:r>
      <w:proofErr w:type="spellStart"/>
      <w:r w:rsidRPr="00876E2A">
        <w:t>Songer</w:t>
      </w:r>
      <w:proofErr w:type="spellEnd"/>
      <w:r w:rsidRPr="00876E2A">
        <w:t>  (Author), Karen W. Post (Author)</w:t>
      </w:r>
    </w:p>
    <w:p w14:paraId="6F1F90E2" w14:textId="77777777" w:rsidR="00C07323" w:rsidRPr="00876E2A" w:rsidRDefault="00C07323" w:rsidP="00C07323">
      <w:r w:rsidRPr="00876E2A">
        <w:t>Saunders</w:t>
      </w:r>
    </w:p>
    <w:p w14:paraId="29062B62" w14:textId="77777777" w:rsidR="00C07323" w:rsidRPr="00876E2A" w:rsidRDefault="00C07323" w:rsidP="00C07323">
      <w:r w:rsidRPr="00876E2A">
        <w:t>ISBN-13: 978-0721687179</w:t>
      </w:r>
    </w:p>
    <w:p w14:paraId="6CBB2897" w14:textId="77777777" w:rsidR="00C07323" w:rsidRDefault="00C07323" w:rsidP="00C07323">
      <w:r w:rsidRPr="00876E2A">
        <w:t>ISBN-10: 0721687172</w:t>
      </w:r>
    </w:p>
    <w:p w14:paraId="63110876" w14:textId="77777777" w:rsidR="00C07323" w:rsidRDefault="00C07323" w:rsidP="00C07323"/>
    <w:p w14:paraId="1F7E8E61" w14:textId="77777777" w:rsidR="00C07323" w:rsidRDefault="00C07323" w:rsidP="00C07323">
      <w:r>
        <w:t>Topley and Wilson’s Microbiology and Microbial Infections 10</w:t>
      </w:r>
      <w:r w:rsidRPr="00E3249A">
        <w:rPr>
          <w:vertAlign w:val="superscript"/>
        </w:rPr>
        <w:t>th</w:t>
      </w:r>
      <w:r>
        <w:t xml:space="preserve"> edition (2007).</w:t>
      </w:r>
    </w:p>
    <w:p w14:paraId="5528EE36" w14:textId="77777777" w:rsidR="00C07323" w:rsidRDefault="00C07323" w:rsidP="00C07323">
      <w:r>
        <w:t>By W.W.C. Topley (Editor) and G. S. Wilson (Editor).</w:t>
      </w:r>
    </w:p>
    <w:p w14:paraId="1E4778B1" w14:textId="77777777" w:rsidR="00C07323" w:rsidRDefault="00C07323" w:rsidP="00C07323">
      <w:r>
        <w:t>Wiley</w:t>
      </w:r>
    </w:p>
    <w:p w14:paraId="36EDE76F" w14:textId="77777777" w:rsidR="00C07323" w:rsidRDefault="00C07323" w:rsidP="00C07323">
      <w:r>
        <w:t>Volumes: 1 &amp; 2 Bacteriology, 3 &amp; 4 Virology, 5 Medical Mycology, 7 Immunology</w:t>
      </w:r>
    </w:p>
    <w:p w14:paraId="5FD44B97" w14:textId="77777777" w:rsidR="00C07323" w:rsidRDefault="00C07323" w:rsidP="00C07323">
      <w:r>
        <w:t>ISBN-13: 978-0470686386</w:t>
      </w:r>
    </w:p>
    <w:p w14:paraId="6E64B785" w14:textId="77777777" w:rsidR="00C07323" w:rsidRDefault="00C07323" w:rsidP="00C07323"/>
    <w:p w14:paraId="28E15717" w14:textId="77777777" w:rsidR="00C07323" w:rsidRDefault="00C07323" w:rsidP="00C07323">
      <w:r w:rsidRPr="00A926CF">
        <w:t>Emerging and Epizootic Fungal Infections in Animals</w:t>
      </w:r>
      <w:r>
        <w:t xml:space="preserve"> (2018)</w:t>
      </w:r>
    </w:p>
    <w:p w14:paraId="67D6C4E0" w14:textId="77777777" w:rsidR="00C07323" w:rsidRDefault="00C07323" w:rsidP="00C07323">
      <w:r>
        <w:t xml:space="preserve">By </w:t>
      </w:r>
      <w:r w:rsidRPr="00A926CF">
        <w:t>S</w:t>
      </w:r>
      <w:r>
        <w:t xml:space="preserve">. </w:t>
      </w:r>
      <w:proofErr w:type="spellStart"/>
      <w:r>
        <w:t>S</w:t>
      </w:r>
      <w:r w:rsidRPr="00A926CF">
        <w:t>eyedmousavi</w:t>
      </w:r>
      <w:proofErr w:type="spellEnd"/>
      <w:r>
        <w:t xml:space="preserve">, </w:t>
      </w:r>
      <w:r w:rsidRPr="00A926CF">
        <w:t>G. S</w:t>
      </w:r>
      <w:r>
        <w:t xml:space="preserve">. </w:t>
      </w:r>
      <w:r w:rsidRPr="00A926CF">
        <w:t>de Hoog</w:t>
      </w:r>
      <w:r>
        <w:t xml:space="preserve">, </w:t>
      </w:r>
      <w:r w:rsidRPr="00A926CF">
        <w:t>J</w:t>
      </w:r>
      <w:r>
        <w:t>.</w:t>
      </w:r>
      <w:r w:rsidRPr="00A926CF">
        <w:t xml:space="preserve"> Guillot</w:t>
      </w:r>
      <w:r>
        <w:t xml:space="preserve">, </w:t>
      </w:r>
      <w:r w:rsidRPr="00A926CF">
        <w:t>P</w:t>
      </w:r>
      <w:r>
        <w:t>.</w:t>
      </w:r>
      <w:r w:rsidRPr="00A926CF">
        <w:t xml:space="preserve"> E. Verweij</w:t>
      </w:r>
      <w:r>
        <w:t xml:space="preserve"> (Editors) </w:t>
      </w:r>
    </w:p>
    <w:p w14:paraId="354BB611" w14:textId="77777777" w:rsidR="00C07323" w:rsidRDefault="00C07323" w:rsidP="00C07323">
      <w:r w:rsidRPr="00A926CF">
        <w:t>Springer International Publishing AG</w:t>
      </w:r>
      <w:r>
        <w:t xml:space="preserve"> </w:t>
      </w:r>
      <w:r w:rsidRPr="00A926CF">
        <w:t xml:space="preserve"> </w:t>
      </w:r>
    </w:p>
    <w:p w14:paraId="34948B35" w14:textId="77777777" w:rsidR="00C07323" w:rsidRDefault="00C07323" w:rsidP="00C07323">
      <w:r w:rsidRPr="00A926CF">
        <w:t>ISBN-139783319720913</w:t>
      </w:r>
    </w:p>
    <w:p w14:paraId="41AD52B6" w14:textId="77777777" w:rsidR="00C07323" w:rsidRDefault="00C07323" w:rsidP="00C07323"/>
    <w:p w14:paraId="314ADD85" w14:textId="77777777" w:rsidR="00C07323" w:rsidRDefault="00C07323" w:rsidP="00C07323"/>
    <w:p w14:paraId="20210325" w14:textId="77777777" w:rsidR="00C07323" w:rsidRDefault="00C07323" w:rsidP="00C07323"/>
    <w:p w14:paraId="2D827563" w14:textId="77777777" w:rsidR="00C07323" w:rsidRDefault="00C07323" w:rsidP="00C07323"/>
    <w:p w14:paraId="00DE33BB" w14:textId="77777777" w:rsidR="00C07323" w:rsidRPr="00D57E5B" w:rsidRDefault="00C07323" w:rsidP="00C07323">
      <w:r w:rsidRPr="00D57E5B">
        <w:rPr>
          <w:b/>
          <w:bCs/>
        </w:rPr>
        <w:t xml:space="preserve">Journals for </w:t>
      </w:r>
      <w:r>
        <w:rPr>
          <w:b/>
          <w:bCs/>
        </w:rPr>
        <w:t>ECVM</w:t>
      </w:r>
      <w:r w:rsidRPr="00D57E5B">
        <w:rPr>
          <w:b/>
          <w:bCs/>
        </w:rPr>
        <w:t xml:space="preserve"> Candidates </w:t>
      </w:r>
      <w:r>
        <w:rPr>
          <w:b/>
          <w:bCs/>
        </w:rPr>
        <w:t>(in order of priority)</w:t>
      </w:r>
    </w:p>
    <w:p w14:paraId="67733B76" w14:textId="77777777" w:rsidR="00C07323" w:rsidRDefault="00C07323" w:rsidP="00C07323">
      <w:pPr>
        <w:pStyle w:val="ListParagraph"/>
        <w:numPr>
          <w:ilvl w:val="0"/>
          <w:numId w:val="3"/>
        </w:numPr>
        <w:spacing w:after="0" w:line="240" w:lineRule="auto"/>
        <w:contextualSpacing/>
      </w:pPr>
      <w:r>
        <w:t>Veterinary Microbiology</w:t>
      </w:r>
    </w:p>
    <w:p w14:paraId="4ABD165A" w14:textId="77777777" w:rsidR="00C07323" w:rsidRDefault="00C07323" w:rsidP="00C07323">
      <w:pPr>
        <w:pStyle w:val="ListParagraph"/>
        <w:numPr>
          <w:ilvl w:val="0"/>
          <w:numId w:val="3"/>
        </w:numPr>
        <w:spacing w:after="0" w:line="240" w:lineRule="auto"/>
        <w:contextualSpacing/>
      </w:pPr>
      <w:r>
        <w:t>Veterinary Research</w:t>
      </w:r>
    </w:p>
    <w:p w14:paraId="530F62FF" w14:textId="77777777" w:rsidR="00C07323" w:rsidRDefault="00C07323" w:rsidP="00C07323">
      <w:pPr>
        <w:pStyle w:val="ListParagraph"/>
        <w:numPr>
          <w:ilvl w:val="0"/>
          <w:numId w:val="3"/>
        </w:numPr>
        <w:spacing w:after="0" w:line="240" w:lineRule="auto"/>
        <w:contextualSpacing/>
      </w:pPr>
      <w:r>
        <w:t>Journal of Veterinary Diagnostic Investigation</w:t>
      </w:r>
    </w:p>
    <w:p w14:paraId="1055A47C" w14:textId="77777777" w:rsidR="00C07323" w:rsidRDefault="00C07323" w:rsidP="00C07323">
      <w:pPr>
        <w:pStyle w:val="ListParagraph"/>
        <w:numPr>
          <w:ilvl w:val="0"/>
          <w:numId w:val="3"/>
        </w:numPr>
        <w:spacing w:after="0" w:line="240" w:lineRule="auto"/>
        <w:contextualSpacing/>
      </w:pPr>
      <w:r>
        <w:t>Transboundary and Emerging Diseases</w:t>
      </w:r>
    </w:p>
    <w:p w14:paraId="4093E657" w14:textId="77777777" w:rsidR="00C07323" w:rsidRDefault="00C07323" w:rsidP="00C07323">
      <w:pPr>
        <w:pStyle w:val="ListParagraph"/>
        <w:numPr>
          <w:ilvl w:val="0"/>
          <w:numId w:val="3"/>
        </w:numPr>
        <w:spacing w:after="0" w:line="240" w:lineRule="auto"/>
        <w:contextualSpacing/>
      </w:pPr>
      <w:r>
        <w:t>Veterinary Record</w:t>
      </w:r>
    </w:p>
    <w:p w14:paraId="04F8616A" w14:textId="77777777" w:rsidR="00C07323" w:rsidRDefault="00C07323" w:rsidP="00C07323">
      <w:pPr>
        <w:pStyle w:val="ListParagraph"/>
        <w:numPr>
          <w:ilvl w:val="0"/>
          <w:numId w:val="3"/>
        </w:numPr>
        <w:spacing w:after="0" w:line="240" w:lineRule="auto"/>
        <w:contextualSpacing/>
      </w:pPr>
      <w:r w:rsidRPr="00D57E5B">
        <w:t xml:space="preserve">The Veterinary Journal </w:t>
      </w:r>
    </w:p>
    <w:p w14:paraId="47BDCFC3" w14:textId="77777777" w:rsidR="00C07323" w:rsidRDefault="00C07323" w:rsidP="00C07323">
      <w:pPr>
        <w:pStyle w:val="ListParagraph"/>
        <w:numPr>
          <w:ilvl w:val="0"/>
          <w:numId w:val="3"/>
        </w:numPr>
        <w:spacing w:after="0" w:line="240" w:lineRule="auto"/>
        <w:contextualSpacing/>
      </w:pPr>
      <w:r>
        <w:t>Preventive Veterinary Medicine</w:t>
      </w:r>
    </w:p>
    <w:p w14:paraId="57D844C7" w14:textId="77777777" w:rsidR="00C07323" w:rsidRPr="00D57E5B" w:rsidRDefault="00C07323" w:rsidP="00C07323">
      <w:pPr>
        <w:pStyle w:val="ListParagraph"/>
      </w:pPr>
    </w:p>
    <w:p w14:paraId="1ED37770" w14:textId="77777777" w:rsidR="00C07323" w:rsidRDefault="00C07323" w:rsidP="00C07323"/>
    <w:p w14:paraId="3199C1CE" w14:textId="77777777" w:rsidR="00C07323" w:rsidRDefault="00C07323" w:rsidP="00C07323"/>
    <w:p w14:paraId="72ACC590" w14:textId="77777777" w:rsidR="00C07323" w:rsidRPr="00D57E5B" w:rsidRDefault="00C07323" w:rsidP="00C07323">
      <w:r>
        <w:lastRenderedPageBreak/>
        <w:t>E</w:t>
      </w:r>
      <w:r w:rsidRPr="00D57E5B">
        <w:t xml:space="preserve">xam questions </w:t>
      </w:r>
      <w:r>
        <w:t>may</w:t>
      </w:r>
      <w:r w:rsidRPr="00D57E5B">
        <w:t xml:space="preserve"> come from the literature published within the last </w:t>
      </w:r>
      <w:r w:rsidRPr="00D57E5B">
        <w:rPr>
          <w:b/>
          <w:bCs/>
        </w:rPr>
        <w:t xml:space="preserve">five </w:t>
      </w:r>
      <w:r w:rsidRPr="00D57E5B">
        <w:t xml:space="preserve">years. Questions may also come from older articles if they are considered significant and essential to the application of veterinary </w:t>
      </w:r>
      <w:r>
        <w:t>microbiology</w:t>
      </w:r>
      <w:r w:rsidRPr="00D57E5B">
        <w:t xml:space="preserve">. </w:t>
      </w:r>
    </w:p>
    <w:p w14:paraId="69241B53" w14:textId="77777777" w:rsidR="00C07323" w:rsidRPr="00D57E5B" w:rsidRDefault="00C07323" w:rsidP="00C07323">
      <w:r w:rsidRPr="00D57E5B">
        <w:t>This list of journals is not intended to be a compulsory reading list but candidates should be encouraged to select publications within these journals that apply to</w:t>
      </w:r>
      <w:r>
        <w:t>: 1)</w:t>
      </w:r>
      <w:r w:rsidRPr="00D57E5B">
        <w:t xml:space="preserve"> investigation, diagnosis and </w:t>
      </w:r>
      <w:r>
        <w:t>control of infectious</w:t>
      </w:r>
      <w:r w:rsidRPr="00D57E5B">
        <w:t xml:space="preserve"> conditions</w:t>
      </w:r>
      <w:r>
        <w:t>; 2) Antimicrobial resistance; 3) Food microbiology; 4) One Health; 5) Emerging diseases.</w:t>
      </w:r>
      <w:r w:rsidRPr="00D57E5B">
        <w:t xml:space="preserve"> </w:t>
      </w:r>
    </w:p>
    <w:p w14:paraId="29391C4A" w14:textId="77777777" w:rsidR="00C07323" w:rsidRPr="00876E2A" w:rsidRDefault="00C07323" w:rsidP="00C07323"/>
    <w:p w14:paraId="0EFF1442" w14:textId="77777777" w:rsidR="00C07323" w:rsidRPr="00876E2A" w:rsidRDefault="00C07323" w:rsidP="00C07323"/>
    <w:p w14:paraId="6AB8E57E" w14:textId="77777777" w:rsidR="00C07323" w:rsidRPr="00876E2A" w:rsidRDefault="00C07323" w:rsidP="00C07323"/>
    <w:p w14:paraId="5248F17B" w14:textId="77777777" w:rsidR="00C07323" w:rsidRPr="00876E2A" w:rsidRDefault="00C07323" w:rsidP="00C07323"/>
    <w:p w14:paraId="5364EC4D" w14:textId="77777777" w:rsidR="00C07323" w:rsidRDefault="00C07323" w:rsidP="00C07323"/>
    <w:p w14:paraId="61CA2009" w14:textId="77777777" w:rsidR="00C07323" w:rsidRDefault="00C07323" w:rsidP="00C07323"/>
    <w:p w14:paraId="223BDFD9" w14:textId="77777777" w:rsidR="00C07323" w:rsidRDefault="00C07323" w:rsidP="00C07323"/>
    <w:p w14:paraId="6E0754DB" w14:textId="77777777" w:rsidR="00C07323" w:rsidRPr="00353E75" w:rsidRDefault="00C07323" w:rsidP="00C07323"/>
    <w:p w14:paraId="04E805FC" w14:textId="77777777" w:rsidR="00C07323" w:rsidRPr="00C07323" w:rsidRDefault="00C07323"/>
    <w:sectPr w:rsidR="00C07323" w:rsidRPr="00C07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Italic">
    <w:altName w:val="Times New Roman"/>
    <w:panose1 w:val="0000050000000009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30E90"/>
    <w:multiLevelType w:val="hybridMultilevel"/>
    <w:tmpl w:val="DFBE022C"/>
    <w:lvl w:ilvl="0" w:tplc="C8C0FBCE">
      <w:numFmt w:val="bullet"/>
      <w:lvlText w:val="-"/>
      <w:lvlJc w:val="left"/>
      <w:pPr>
        <w:ind w:left="720" w:hanging="360"/>
      </w:pPr>
      <w:rPr>
        <w:rFonts w:ascii="Times-Italic" w:eastAsia="Times New Roman" w:hAnsi="Times-Italic" w:hint="default"/>
      </w:rPr>
    </w:lvl>
    <w:lvl w:ilvl="1" w:tplc="C8C0FBCE">
      <w:numFmt w:val="bullet"/>
      <w:lvlText w:val="-"/>
      <w:lvlJc w:val="left"/>
      <w:pPr>
        <w:ind w:left="1440" w:hanging="360"/>
      </w:pPr>
      <w:rPr>
        <w:rFonts w:ascii="Times-Italic" w:eastAsia="Times New Roman" w:hAnsi="Times-Italic"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536AA8"/>
    <w:multiLevelType w:val="hybridMultilevel"/>
    <w:tmpl w:val="F7C26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C550C3"/>
    <w:multiLevelType w:val="hybridMultilevel"/>
    <w:tmpl w:val="287A20DA"/>
    <w:lvl w:ilvl="0" w:tplc="0409000F">
      <w:numFmt w:val="bullet"/>
      <w:lvlText w:val="-"/>
      <w:lvlJc w:val="left"/>
      <w:pPr>
        <w:ind w:left="720" w:hanging="360"/>
      </w:pPr>
      <w:rPr>
        <w:rFonts w:ascii="Times-Italic" w:eastAsia="Times New Roman" w:hAnsi="Times-Italic"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23"/>
    <w:rsid w:val="000C103C"/>
    <w:rsid w:val="001907DB"/>
    <w:rsid w:val="00234068"/>
    <w:rsid w:val="006F3CD4"/>
    <w:rsid w:val="007264F6"/>
    <w:rsid w:val="009E03A7"/>
    <w:rsid w:val="00A03094"/>
    <w:rsid w:val="00C07323"/>
    <w:rsid w:val="00C14724"/>
    <w:rsid w:val="00D917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22D3"/>
  <w15:chartTrackingRefBased/>
  <w15:docId w15:val="{E78EF3B9-2EA4-43CB-AD7F-51217BC8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23"/>
    <w:pPr>
      <w:spacing w:after="0" w:line="240" w:lineRule="auto"/>
    </w:pPr>
    <w:rPr>
      <w:sz w:val="24"/>
      <w:szCs w:val="24"/>
      <w:lang w:val="en-IE"/>
    </w:rPr>
  </w:style>
  <w:style w:type="paragraph" w:styleId="Heading2">
    <w:name w:val="heading 2"/>
    <w:basedOn w:val="Normal"/>
    <w:next w:val="Normal"/>
    <w:link w:val="Heading2Char"/>
    <w:uiPriority w:val="9"/>
    <w:unhideWhenUsed/>
    <w:qFormat/>
    <w:rsid w:val="00C07323"/>
    <w:pPr>
      <w:keepNext/>
      <w:spacing w:before="240" w:after="60" w:line="276" w:lineRule="auto"/>
      <w:outlineLvl w:val="1"/>
    </w:pPr>
    <w:rPr>
      <w:rFonts w:ascii="Cambria" w:eastAsia="Times New Roman" w:hAnsi="Cambria" w:cs="Times New Roman"/>
      <w:b/>
      <w:bCs/>
      <w:i/>
      <w:iCs/>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7323"/>
    <w:rPr>
      <w:rFonts w:ascii="Cambria" w:eastAsia="Times New Roman" w:hAnsi="Cambria" w:cs="Times New Roman"/>
      <w:b/>
      <w:bCs/>
      <w:i/>
      <w:iCs/>
      <w:sz w:val="28"/>
      <w:szCs w:val="28"/>
      <w:lang w:val="it-IT"/>
    </w:rPr>
  </w:style>
  <w:style w:type="paragraph" w:styleId="ListParagraph">
    <w:name w:val="List Paragraph"/>
    <w:basedOn w:val="Normal"/>
    <w:uiPriority w:val="34"/>
    <w:qFormat/>
    <w:rsid w:val="00C07323"/>
    <w:pPr>
      <w:spacing w:after="200" w:line="276" w:lineRule="auto"/>
      <w:ind w:left="720"/>
    </w:pPr>
    <w:rPr>
      <w:rFonts w:ascii="Calibri" w:eastAsia="Calibri" w:hAnsi="Calibri" w:cs="Times New Roman"/>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ΟΙΚΟΝΟΜΟΠΟΥΛΟΣ</dc:creator>
  <cp:keywords/>
  <dc:description/>
  <cp:lastModifiedBy>Bryan Markey</cp:lastModifiedBy>
  <cp:revision>2</cp:revision>
  <dcterms:created xsi:type="dcterms:W3CDTF">2020-12-23T06:34:00Z</dcterms:created>
  <dcterms:modified xsi:type="dcterms:W3CDTF">2021-03-02T13:02:00Z</dcterms:modified>
</cp:coreProperties>
</file>